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35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预期用途</w:t>
      </w:r>
      <w:r>
        <w:rPr>
          <w:rFonts w:ascii="Arial Unicode MS" w:hAnsi="Arial Unicode MS" w:cs="Arial Unicode MS" w:eastAsia="Arial Unicode MS"/>
          <w:spacing w:val="0"/>
          <w:w w:val="100"/>
          <w:position w:val="0"/>
          <w:sz w:val="22"/>
          <w:szCs w:val="22"/>
        </w:rPr>
      </w:r>
    </w:p>
    <w:p>
      <w:pPr>
        <w:spacing w:before="67" w:after="0" w:line="185" w:lineRule="auto"/>
        <w:ind w:right="595"/>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用于增强指定底漆体系与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757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面漆之间的附着力。也在橡胶底材上用作</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757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面漆的底漆。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用于新造船或维修和保养。</w:t>
      </w:r>
    </w:p>
    <w:p>
      <w:pPr>
        <w:spacing w:line="185" w:lineRule="auto" w:after="0"/>
        <w:jc w:val="left"/>
        <w:rPr>
          <w:rFonts w:ascii="Arial Unicode MS" w:hAnsi="Arial Unicode MS" w:cs="Arial Unicode MS" w:eastAsia="Arial Unicode MS"/>
          <w:sz w:val="16"/>
          <w:szCs w:val="16"/>
        </w:rPr>
        <w:sectPr>
          <w:headerReference w:type="default" r:id="rId5"/>
          <w:footerReference w:type="default" r:id="rId6"/>
          <w:type w:val="continuous"/>
          <w:pgSz w:w="11900" w:h="16820"/>
          <w:pgMar w:header="299" w:footer="1582" w:top="1680" w:bottom="1780" w:left="620" w:right="540"/>
          <w:pgNumType w:start="1"/>
          <w:cols w:num="2" w:equalWidth="0">
            <w:col w:w="1018" w:space="1279"/>
            <w:col w:w="8443"/>
          </w:cols>
        </w:sectPr>
      </w:pPr>
    </w:p>
    <w:p>
      <w:pPr>
        <w:spacing w:before="12"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680" w:bottom="1780" w:left="620" w:right="54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3.757876pt;width:414pt;height:.1pt;mso-position-horizontal-relative:page;mso-position-vertical-relative:paragraph;z-index:-387"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BXA736-粉红色</w:t>
      </w:r>
      <w:r>
        <w:rPr>
          <w:rFonts w:ascii="Arial Unicode MS" w:hAnsi="Arial Unicode MS" w:cs="Arial Unicode MS" w:eastAsia="Arial Unicode MS"/>
          <w:spacing w:val="-11"/>
          <w:w w:val="100"/>
          <w:sz w:val="16"/>
          <w:szCs w:val="16"/>
        </w:rPr>
        <w:t> </w:t>
      </w:r>
      <w:r>
        <w:rPr>
          <w:rFonts w:ascii="Arial Unicode MS" w:hAnsi="Arial Unicode MS" w:cs="Arial Unicode MS" w:eastAsia="Arial Unicode MS"/>
          <w:spacing w:val="0"/>
          <w:w w:val="100"/>
          <w:sz w:val="16"/>
          <w:szCs w:val="16"/>
        </w:rPr>
        <w:t>（甲组份）,</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BXA737-浅灰色</w:t>
      </w:r>
      <w:r>
        <w:rPr>
          <w:rFonts w:ascii="Arial Unicode MS" w:hAnsi="Arial Unicode MS" w:cs="Arial Unicode MS" w:eastAsia="Arial Unicode MS"/>
          <w:spacing w:val="-11"/>
          <w:w w:val="100"/>
          <w:sz w:val="16"/>
          <w:szCs w:val="16"/>
        </w:rPr>
        <w:t> </w:t>
      </w:r>
      <w:r>
        <w:rPr>
          <w:rFonts w:ascii="Arial Unicode MS" w:hAnsi="Arial Unicode MS" w:cs="Arial Unicode MS" w:eastAsia="Arial Unicode MS"/>
          <w:spacing w:val="0"/>
          <w:w w:val="100"/>
          <w:sz w:val="16"/>
          <w:szCs w:val="16"/>
        </w:rPr>
        <w:t>（甲组份）</w:t>
      </w:r>
    </w:p>
    <w:p>
      <w:pPr>
        <w:spacing w:line="231" w:lineRule="exact"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2738" w:space="1935"/>
            <w:col w:w="6067"/>
          </w:cols>
        </w:sectPr>
      </w:pPr>
    </w:p>
    <w:p>
      <w:pPr>
        <w:tabs>
          <w:tab w:pos="4660" w:val="left"/>
        </w:tabs>
        <w:spacing w:before="33"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不适用</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BXA738</w:t>
      </w:r>
      <w:r>
        <w:rPr>
          <w:rFonts w:ascii="Arial Unicode MS" w:hAnsi="Arial Unicode MS" w:cs="Arial Unicode MS" w:eastAsia="Arial Unicode MS"/>
          <w:spacing w:val="-6"/>
          <w:w w:val="100"/>
          <w:position w:val="3"/>
          <w:sz w:val="16"/>
          <w:szCs w:val="16"/>
        </w:rPr>
        <w:t> </w:t>
      </w:r>
      <w:r>
        <w:rPr>
          <w:rFonts w:ascii="Arial Unicode MS" w:hAnsi="Arial Unicode MS" w:cs="Arial Unicode MS" w:eastAsia="Arial Unicode MS"/>
          <w:spacing w:val="0"/>
          <w:w w:val="100"/>
          <w:position w:val="3"/>
          <w:sz w:val="16"/>
          <w:szCs w:val="16"/>
        </w:rPr>
        <w:t>(乙组份)，</w:t>
      </w:r>
      <w:r>
        <w:rPr>
          <w:rFonts w:ascii="Arial Unicode MS" w:hAnsi="Arial Unicode MS" w:cs="Arial Unicode MS" w:eastAsia="Arial Unicode MS"/>
          <w:spacing w:val="0"/>
          <w:w w:val="100"/>
          <w:position w:val="3"/>
          <w:sz w:val="16"/>
          <w:szCs w:val="16"/>
        </w:rPr>
        <w:t> </w:t>
      </w:r>
      <w:r>
        <w:rPr>
          <w:rFonts w:ascii="Arial Unicode MS" w:hAnsi="Arial Unicode MS" w:cs="Arial Unicode MS" w:eastAsia="Arial Unicode MS"/>
          <w:spacing w:val="0"/>
          <w:w w:val="100"/>
          <w:position w:val="3"/>
          <w:sz w:val="16"/>
          <w:szCs w:val="16"/>
        </w:rPr>
        <w:t>BXA739</w:t>
      </w:r>
      <w:r>
        <w:rPr>
          <w:rFonts w:ascii="Arial Unicode MS" w:hAnsi="Arial Unicode MS" w:cs="Arial Unicode MS" w:eastAsia="Arial Unicode MS"/>
          <w:spacing w:val="-6"/>
          <w:w w:val="100"/>
          <w:position w:val="3"/>
          <w:sz w:val="16"/>
          <w:szCs w:val="16"/>
        </w:rPr>
        <w:t> </w:t>
      </w:r>
      <w:r>
        <w:rPr>
          <w:rFonts w:ascii="Arial Unicode MS" w:hAnsi="Arial Unicode MS" w:cs="Arial Unicode MS" w:eastAsia="Arial Unicode MS"/>
          <w:spacing w:val="0"/>
          <w:w w:val="100"/>
          <w:position w:val="3"/>
          <w:sz w:val="16"/>
          <w:szCs w:val="16"/>
        </w:rPr>
        <w:t>(丙组份)</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680" w:bottom="1780" w:left="620" w:right="54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57％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3398" w:space="1275"/>
            <w:col w:w="606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甲组份：乙组份：丙组份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w:t>
      </w:r>
      <w:r>
        <w:rPr>
          <w:rFonts w:ascii="Arial Unicode MS" w:hAnsi="Arial Unicode MS" w:cs="Arial Unicode MS" w:eastAsia="Arial Unicode MS"/>
          <w:spacing w:val="-1"/>
          <w:w w:val="100"/>
          <w:position w:val="4"/>
          <w:sz w:val="16"/>
          <w:szCs w:val="16"/>
        </w:rPr>
        <w:t> </w:t>
      </w:r>
      <w:r>
        <w:rPr>
          <w:rFonts w:ascii="Arial Unicode MS" w:hAnsi="Arial Unicode MS" w:cs="Arial Unicode MS" w:eastAsia="Arial Unicode MS"/>
          <w:spacing w:val="0"/>
          <w:w w:val="100"/>
          <w:position w:val="4"/>
          <w:sz w:val="16"/>
          <w:szCs w:val="16"/>
        </w:rPr>
        <w:t>4：5：1(体积比)</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680" w:bottom="1780" w:left="620" w:right="54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100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(175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99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5.70</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刷涂,</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漆辊</w:t>
      </w:r>
    </w:p>
    <w:p>
      <w:pPr>
        <w:spacing w:line="370" w:lineRule="exact"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3392" w:space="1281"/>
            <w:col w:w="606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36°C;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38°C;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混合后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28°C</w:t>
      </w:r>
      <w:r>
        <w:rPr>
          <w:rFonts w:ascii="Arial Unicode MS" w:hAnsi="Arial Unicode MS" w:cs="Arial Unicode MS" w:eastAsia="Arial Unicode MS"/>
          <w:spacing w:val="0"/>
          <w:w w:val="100"/>
          <w:position w:val="0"/>
          <w:sz w:val="16"/>
          <w:szCs w:val="16"/>
        </w:rPr>
      </w:r>
    </w:p>
    <w:p>
      <w:pPr>
        <w:tabs>
          <w:tab w:pos="4660" w:val="left"/>
        </w:tabs>
        <w:spacing w:before="0" w:after="0" w:line="371" w:lineRule="exact"/>
        <w:ind w:left="2291" w:right="-20"/>
        <w:jc w:val="left"/>
        <w:rPr>
          <w:rFonts w:ascii="Arial Unicode MS" w:hAnsi="Arial Unicode MS" w:cs="Arial Unicode MS" w:eastAsia="Arial Unicode MS"/>
          <w:sz w:val="16"/>
          <w:szCs w:val="16"/>
        </w:rPr>
      </w:pPr>
      <w:r>
        <w:rPr/>
        <w:pict>
          <v:group style="position:absolute;margin-left:145.570007pt;margin-top:31.405922pt;width:414.0pt;height:.1pt;mso-position-horizontal-relative:page;mso-position-vertical-relative:paragraph;z-index:-385" coordorigin="2911,628" coordsize="8280,2">
            <v:shape style="position:absolute;left:2911;top:628;width:8280;height:2" coordorigin="2911,628" coordsize="8280,0" path="m2911,628l11191,628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熟化时间</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不需要</w:t>
      </w:r>
      <w:r>
        <w:rPr>
          <w:rFonts w:ascii="Arial Unicode MS" w:hAnsi="Arial Unicode MS" w:cs="Arial Unicode MS" w:eastAsia="Arial Unicode MS"/>
          <w:spacing w:val="0"/>
          <w:w w:val="100"/>
          <w:position w:val="0"/>
          <w:sz w:val="16"/>
          <w:szCs w:val="16"/>
        </w:rPr>
      </w:r>
    </w:p>
    <w:p>
      <w:pPr>
        <w:spacing w:before="12" w:after="0" w:line="260" w:lineRule="exact"/>
        <w:jc w:val="left"/>
        <w:rPr>
          <w:sz w:val="26"/>
          <w:szCs w:val="26"/>
        </w:rPr>
      </w:pPr>
      <w:r>
        <w:rPr>
          <w:sz w:val="26"/>
          <w:szCs w:val="26"/>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85" w:type="dxa"/>
            <w:tcBorders>
              <w:top w:val="single" w:sz="12" w:space="0" w:color="000000"/>
              <w:left w:val="nil" w:sz="6" w:space="0" w:color="auto"/>
              <w:bottom w:val="single" w:sz="4" w:space="0" w:color="000000"/>
              <w:right w:val="nil" w:sz="6" w:space="0" w:color="auto"/>
            </w:tcBorders>
          </w:tcPr>
          <w:p>
            <w:pPr>
              <w:spacing w:before="93" w:after="0" w:line="240" w:lineRule="auto"/>
              <w:ind w:left="42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0°C</w:t>
            </w:r>
            <w:r>
              <w:rPr>
                <w:rFonts w:ascii="Arial Unicode MS" w:hAnsi="Arial Unicode MS" w:cs="Arial Unicode MS" w:eastAsia="Arial Unicode MS"/>
                <w:spacing w:val="0"/>
                <w:w w:val="100"/>
                <w:sz w:val="14"/>
                <w:szCs w:val="14"/>
              </w:rPr>
            </w:r>
          </w:p>
        </w:tc>
        <w:tc>
          <w:tcPr>
            <w:tcW w:w="1420" w:type="dxa"/>
            <w:tcBorders>
              <w:top w:val="single" w:sz="12" w:space="0" w:color="000000"/>
              <w:left w:val="nil" w:sz="6" w:space="0" w:color="auto"/>
              <w:bottom w:val="single" w:sz="4" w:space="0" w:color="000000"/>
              <w:right w:val="nil" w:sz="6" w:space="0" w:color="auto"/>
            </w:tcBorders>
          </w:tcPr>
          <w:p>
            <w:pPr>
              <w:spacing w:before="93" w:after="0" w:line="240" w:lineRule="auto"/>
              <w:ind w:left="51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15°C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35"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826"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凝胶时间</w:t>
            </w:r>
          </w:p>
        </w:tc>
        <w:tc>
          <w:tcPr>
            <w:tcW w:w="1285" w:type="dxa"/>
            <w:tcBorders>
              <w:top w:val="single" w:sz="4" w:space="0" w:color="000000"/>
              <w:left w:val="nil" w:sz="6" w:space="0" w:color="auto"/>
              <w:bottom w:val="nil" w:sz="6" w:space="0" w:color="auto"/>
              <w:right w:val="nil" w:sz="6" w:space="0" w:color="auto"/>
            </w:tcBorders>
          </w:tcPr>
          <w:p>
            <w:pPr>
              <w:spacing w:before="3" w:after="0" w:line="240" w:lineRule="auto"/>
              <w:ind w:left="34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27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c>
          <w:tcPr>
            <w:tcW w:w="1420" w:type="dxa"/>
            <w:tcBorders>
              <w:top w:val="single" w:sz="4" w:space="0" w:color="000000"/>
              <w:left w:val="nil" w:sz="6" w:space="0" w:color="auto"/>
              <w:bottom w:val="nil" w:sz="6" w:space="0" w:color="auto"/>
              <w:right w:val="nil" w:sz="6" w:space="0" w:color="auto"/>
            </w:tcBorders>
          </w:tcPr>
          <w:p>
            <w:pPr>
              <w:spacing w:before="3" w:after="0" w:line="240" w:lineRule="auto"/>
              <w:ind w:left="47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7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3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90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c>
          <w:tcPr>
            <w:tcW w:w="1435" w:type="dxa"/>
            <w:tcBorders>
              <w:top w:val="single" w:sz="4" w:space="0" w:color="000000"/>
              <w:left w:val="nil" w:sz="6" w:space="0" w:color="auto"/>
              <w:bottom w:val="nil" w:sz="6" w:space="0" w:color="auto"/>
              <w:right w:val="nil" w:sz="6" w:space="0" w:color="auto"/>
            </w:tcBorders>
          </w:tcPr>
          <w:p>
            <w:pPr>
              <w:spacing w:before="3"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00" w:val="left"/>
          <w:tab w:pos="7840" w:val="left"/>
          <w:tab w:pos="9280" w:val="left"/>
        </w:tabs>
        <w:spacing w:before="0" w:after="0" w:line="133"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0°C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15°C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p>
      <w:pPr>
        <w:spacing w:line="133" w:lineRule="exact" w:after="0"/>
        <w:jc w:val="left"/>
        <w:rPr>
          <w:rFonts w:ascii="Arial Unicode MS" w:hAnsi="Arial Unicode MS" w:cs="Arial Unicode MS" w:eastAsia="Arial Unicode MS"/>
          <w:sz w:val="14"/>
          <w:szCs w:val="14"/>
        </w:rPr>
        <w:sectPr>
          <w:type w:val="continuous"/>
          <w:pgSz w:w="11900" w:h="16820"/>
          <w:pgMar w:top="1680" w:bottom="1780" w:left="620" w:right="540"/>
        </w:sectPr>
      </w:pPr>
    </w:p>
    <w:p>
      <w:pPr>
        <w:spacing w:before="66" w:after="0" w:line="233" w:lineRule="exact"/>
        <w:ind w:right="-20"/>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复涂下列产品时</w:t>
      </w:r>
      <w:r>
        <w:rPr>
          <w:rFonts w:ascii="Arial Unicode MS" w:hAnsi="Arial Unicode MS" w:cs="Arial Unicode MS" w:eastAsia="Arial Unicode MS"/>
          <w:spacing w:val="0"/>
          <w:w w:val="100"/>
          <w:position w:val="0"/>
          <w:sz w:val="14"/>
          <w:szCs w:val="14"/>
        </w:rPr>
      </w:r>
    </w:p>
    <w:p>
      <w:pPr>
        <w:tabs>
          <w:tab w:pos="720" w:val="left"/>
          <w:tab w:pos="1440" w:val="left"/>
          <w:tab w:pos="2160" w:val="left"/>
          <w:tab w:pos="2880" w:val="left"/>
          <w:tab w:pos="3600" w:val="left"/>
          <w:tab w:pos="4320" w:val="left"/>
          <w:tab w:pos="5040" w:val="left"/>
        </w:tabs>
        <w:spacing w:before="37" w:after="0" w:line="240" w:lineRule="auto"/>
        <w:ind w:right="-20"/>
        <w:jc w:val="left"/>
        <w:rPr>
          <w:rFonts w:ascii="Arial Unicode MS" w:hAnsi="Arial Unicode MS" w:cs="Arial Unicode MS" w:eastAsia="Arial Unicode MS"/>
          <w:sz w:val="14"/>
          <w:szCs w:val="14"/>
        </w:rPr>
      </w:pPr>
      <w:r>
        <w:rPr/>
        <w:br w:type="column"/>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r>
    </w:p>
    <w:p>
      <w:pPr>
        <w:spacing w:line="240" w:lineRule="auto" w:after="0"/>
        <w:jc w:val="left"/>
        <w:rPr>
          <w:rFonts w:ascii="Arial Unicode MS" w:hAnsi="Arial Unicode MS" w:cs="Arial Unicode MS" w:eastAsia="Arial Unicode MS"/>
          <w:sz w:val="14"/>
          <w:szCs w:val="14"/>
        </w:rPr>
        <w:sectPr>
          <w:type w:val="continuous"/>
          <w:pgSz w:w="11900" w:h="16820"/>
          <w:pgMar w:top="1680" w:bottom="1780" w:left="620" w:right="540"/>
          <w:cols w:num="2" w:equalWidth="0">
            <w:col w:w="3215" w:space="1404"/>
            <w:col w:w="6121"/>
          </w:cols>
        </w:sectPr>
      </w:pPr>
    </w:p>
    <w:p>
      <w:pPr>
        <w:spacing w:before="6" w:after="0" w:line="180" w:lineRule="exact"/>
        <w:jc w:val="left"/>
        <w:rPr>
          <w:sz w:val="18"/>
          <w:szCs w:val="18"/>
        </w:rPr>
      </w:pPr>
      <w:r>
        <w:rPr>
          <w:sz w:val="18"/>
          <w:szCs w:val="18"/>
        </w:rPr>
      </w:r>
    </w:p>
    <w:tbl>
      <w:tblPr>
        <w:tblW w:w="0" w:type="auto"/>
        <w:jc w:val="left"/>
        <w:tblInd w:w="2194" w:type="dxa"/>
        <w:tblLayout w:type="fixed"/>
        <w:tblCellMar>
          <w:top w:w="0" w:type="dxa"/>
          <w:left w:w="0" w:type="dxa"/>
          <w:bottom w:w="0" w:type="dxa"/>
          <w:right w:w="0" w:type="dxa"/>
        </w:tblCellMar>
        <w:tblLook w:val="01E0"/>
      </w:tblPr>
      <w:tblGrid/>
      <w:tr>
        <w:trPr>
          <w:trHeight w:val="286" w:hRule="exact"/>
        </w:trPr>
        <w:tc>
          <w:tcPr>
            <w:tcW w:w="1623" w:type="dxa"/>
            <w:tcBorders>
              <w:top w:val="nil" w:sz="6" w:space="0" w:color="auto"/>
              <w:left w:val="nil" w:sz="6" w:space="0" w:color="auto"/>
              <w:bottom w:val="nil" w:sz="6" w:space="0" w:color="auto"/>
              <w:right w:val="nil" w:sz="6" w:space="0" w:color="auto"/>
            </w:tcBorders>
          </w:tcPr>
          <w:p>
            <w:pPr>
              <w:spacing w:before="1"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Intersleek</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757</w:t>
            </w:r>
          </w:p>
        </w:tc>
        <w:tc>
          <w:tcPr>
            <w:tcW w:w="1354" w:type="dxa"/>
            <w:tcBorders>
              <w:top w:val="nil" w:sz="6" w:space="0" w:color="auto"/>
              <w:left w:val="nil" w:sz="6" w:space="0" w:color="auto"/>
              <w:bottom w:val="nil" w:sz="6" w:space="0" w:color="auto"/>
              <w:right w:val="nil" w:sz="6" w:space="0" w:color="auto"/>
            </w:tcBorders>
          </w:tcPr>
          <w:p>
            <w:pPr>
              <w:spacing w:before="1" w:after="0" w:line="240" w:lineRule="auto"/>
              <w:ind w:left="70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1" w:type="dxa"/>
            <w:tcBorders>
              <w:top w:val="single" w:sz="4" w:space="0" w:color="000000"/>
              <w:left w:val="nil" w:sz="6" w:space="0" w:color="auto"/>
              <w:bottom w:val="nil" w:sz="6" w:space="0" w:color="auto"/>
              <w:right w:val="nil" w:sz="6" w:space="0" w:color="auto"/>
            </w:tcBorders>
          </w:tcPr>
          <w:p>
            <w:pPr>
              <w:spacing w:before="1" w:after="0" w:line="240" w:lineRule="auto"/>
              <w:ind w:left="1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29" w:type="dxa"/>
            <w:tcBorders>
              <w:top w:val="single" w:sz="4" w:space="0" w:color="000000"/>
              <w:left w:val="nil" w:sz="6" w:space="0" w:color="auto"/>
              <w:bottom w:val="nil" w:sz="6" w:space="0" w:color="auto"/>
              <w:right w:val="nil" w:sz="6" w:space="0" w:color="auto"/>
            </w:tcBorders>
          </w:tcPr>
          <w:p>
            <w:pPr>
              <w:spacing w:before="1" w:after="0" w:line="240" w:lineRule="auto"/>
              <w:ind w:left="1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0" w:type="dxa"/>
            <w:tcBorders>
              <w:top w:val="single" w:sz="4" w:space="0" w:color="000000"/>
              <w:left w:val="nil" w:sz="6" w:space="0" w:color="auto"/>
              <w:bottom w:val="nil" w:sz="6" w:space="0" w:color="auto"/>
              <w:right w:val="nil" w:sz="6" w:space="0" w:color="auto"/>
            </w:tcBorders>
          </w:tcPr>
          <w:p>
            <w:pPr>
              <w:spacing w:before="1" w:after="0" w:line="240" w:lineRule="auto"/>
              <w:ind w:left="1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29" w:type="dxa"/>
            <w:tcBorders>
              <w:top w:val="single" w:sz="4" w:space="0" w:color="000000"/>
              <w:left w:val="nil" w:sz="6" w:space="0" w:color="auto"/>
              <w:bottom w:val="nil" w:sz="6" w:space="0" w:color="auto"/>
              <w:right w:val="nil" w:sz="6" w:space="0" w:color="auto"/>
            </w:tcBorders>
          </w:tcPr>
          <w:p>
            <w:pPr>
              <w:spacing w:before="1" w:after="0" w:line="240" w:lineRule="auto"/>
              <w:ind w:left="18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1" w:type="dxa"/>
            <w:tcBorders>
              <w:top w:val="single" w:sz="4" w:space="0" w:color="000000"/>
              <w:left w:val="nil" w:sz="6" w:space="0" w:color="auto"/>
              <w:bottom w:val="nil" w:sz="6" w:space="0" w:color="auto"/>
              <w:right w:val="nil" w:sz="6" w:space="0" w:color="auto"/>
            </w:tcBorders>
          </w:tcPr>
          <w:p>
            <w:pPr>
              <w:spacing w:before="1" w:after="0" w:line="240" w:lineRule="auto"/>
              <w:ind w:left="16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single" w:sz="4" w:space="0" w:color="000000"/>
              <w:left w:val="nil" w:sz="6" w:space="0" w:color="auto"/>
              <w:bottom w:val="nil" w:sz="6" w:space="0" w:color="auto"/>
              <w:right w:val="nil" w:sz="6" w:space="0" w:color="auto"/>
            </w:tcBorders>
          </w:tcPr>
          <w:p>
            <w:pPr>
              <w:spacing w:before="1" w:after="0" w:line="240" w:lineRule="auto"/>
              <w:ind w:left="19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93" w:type="dxa"/>
            <w:tcBorders>
              <w:top w:val="single" w:sz="4" w:space="0" w:color="000000"/>
              <w:left w:val="nil" w:sz="6" w:space="0" w:color="auto"/>
              <w:bottom w:val="nil" w:sz="6" w:space="0" w:color="auto"/>
              <w:right w:val="nil" w:sz="6" w:space="0" w:color="auto"/>
            </w:tcBorders>
          </w:tcPr>
          <w:p>
            <w:pPr>
              <w:spacing w:before="1" w:after="0" w:line="240" w:lineRule="auto"/>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603" w:hRule="exact"/>
        </w:trPr>
        <w:tc>
          <w:tcPr>
            <w:tcW w:w="1623"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Intersleek</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970</w:t>
            </w:r>
          </w:p>
        </w:tc>
        <w:tc>
          <w:tcPr>
            <w:tcW w:w="1354" w:type="dxa"/>
            <w:tcBorders>
              <w:top w:val="nil" w:sz="6" w:space="0" w:color="auto"/>
              <w:left w:val="nil" w:sz="6" w:space="0" w:color="auto"/>
              <w:bottom w:val="single" w:sz="12" w:space="0" w:color="000000"/>
              <w:right w:val="nil" w:sz="6" w:space="0" w:color="auto"/>
            </w:tcBorders>
          </w:tcPr>
          <w:p>
            <w:pPr>
              <w:spacing w:before="0" w:after="0" w:line="202" w:lineRule="exact"/>
              <w:ind w:left="70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1" w:type="dxa"/>
            <w:tcBorders>
              <w:top w:val="nil" w:sz="6" w:space="0" w:color="auto"/>
              <w:left w:val="nil" w:sz="6" w:space="0" w:color="auto"/>
              <w:bottom w:val="single" w:sz="12" w:space="0" w:color="000000"/>
              <w:right w:val="nil" w:sz="6" w:space="0" w:color="auto"/>
            </w:tcBorders>
          </w:tcPr>
          <w:p>
            <w:pPr>
              <w:spacing w:before="0" w:after="0" w:line="202" w:lineRule="exact"/>
              <w:ind w:left="1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29" w:type="dxa"/>
            <w:tcBorders>
              <w:top w:val="nil" w:sz="6" w:space="0" w:color="auto"/>
              <w:left w:val="nil" w:sz="6" w:space="0" w:color="auto"/>
              <w:bottom w:val="single" w:sz="12" w:space="0" w:color="000000"/>
              <w:right w:val="nil" w:sz="6" w:space="0" w:color="auto"/>
            </w:tcBorders>
          </w:tcPr>
          <w:p>
            <w:pPr>
              <w:spacing w:before="0" w:after="0" w:line="202" w:lineRule="exact"/>
              <w:ind w:left="1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0" w:type="dxa"/>
            <w:tcBorders>
              <w:top w:val="nil" w:sz="6" w:space="0" w:color="auto"/>
              <w:left w:val="nil" w:sz="6" w:space="0" w:color="auto"/>
              <w:bottom w:val="single" w:sz="12" w:space="0" w:color="000000"/>
              <w:right w:val="nil" w:sz="6" w:space="0" w:color="auto"/>
            </w:tcBorders>
          </w:tcPr>
          <w:p>
            <w:pPr>
              <w:spacing w:before="0" w:after="0" w:line="202" w:lineRule="exact"/>
              <w:ind w:left="1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29" w:type="dxa"/>
            <w:tcBorders>
              <w:top w:val="nil" w:sz="6" w:space="0" w:color="auto"/>
              <w:left w:val="nil" w:sz="6" w:space="0" w:color="auto"/>
              <w:bottom w:val="single" w:sz="12" w:space="0" w:color="000000"/>
              <w:right w:val="nil" w:sz="6" w:space="0" w:color="auto"/>
            </w:tcBorders>
          </w:tcPr>
          <w:p>
            <w:pPr>
              <w:spacing w:before="0" w:after="0" w:line="202" w:lineRule="exact"/>
              <w:ind w:left="18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1" w:type="dxa"/>
            <w:tcBorders>
              <w:top w:val="nil" w:sz="6" w:space="0" w:color="auto"/>
              <w:left w:val="nil" w:sz="6" w:space="0" w:color="auto"/>
              <w:bottom w:val="single" w:sz="12" w:space="0" w:color="000000"/>
              <w:right w:val="nil" w:sz="6" w:space="0" w:color="auto"/>
            </w:tcBorders>
          </w:tcPr>
          <w:p>
            <w:pPr>
              <w:spacing w:before="0" w:after="0" w:line="202" w:lineRule="exact"/>
              <w:ind w:left="16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nil" w:sz="6" w:space="0" w:color="auto"/>
              <w:left w:val="nil" w:sz="6" w:space="0" w:color="auto"/>
              <w:bottom w:val="single" w:sz="12" w:space="0" w:color="000000"/>
              <w:right w:val="nil" w:sz="6" w:space="0" w:color="auto"/>
            </w:tcBorders>
          </w:tcPr>
          <w:p>
            <w:pPr>
              <w:spacing w:before="0" w:after="0" w:line="202" w:lineRule="exact"/>
              <w:ind w:left="19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93" w:type="dxa"/>
            <w:tcBorders>
              <w:top w:val="nil" w:sz="6" w:space="0" w:color="auto"/>
              <w:left w:val="nil" w:sz="6" w:space="0" w:color="auto"/>
              <w:bottom w:val="single" w:sz="12" w:space="0" w:color="000000"/>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bl>
    <w:p>
      <w:pPr>
        <w:spacing w:line="202" w:lineRule="exact" w:after="0"/>
        <w:jc w:val="left"/>
        <w:rPr>
          <w:rFonts w:ascii="Arial Unicode MS" w:hAnsi="Arial Unicode MS" w:cs="Arial Unicode MS" w:eastAsia="Arial Unicode MS"/>
          <w:sz w:val="14"/>
          <w:szCs w:val="14"/>
        </w:rPr>
        <w:sectPr>
          <w:type w:val="continuous"/>
          <w:pgSz w:w="11900" w:h="16820"/>
          <w:pgMar w:top="1680" w:bottom="1780" w:left="620" w:right="540"/>
        </w:sectPr>
      </w:pPr>
    </w:p>
    <w:p>
      <w:pPr>
        <w:tabs>
          <w:tab w:pos="2380" w:val="left"/>
        </w:tabs>
        <w:spacing w:before="0" w:after="0" w:line="345" w:lineRule="exact"/>
        <w:ind w:left="137" w:right="-73"/>
        <w:jc w:val="left"/>
        <w:rPr>
          <w:rFonts w:ascii="Arial Unicode MS" w:hAnsi="Arial Unicode MS" w:cs="Arial Unicode MS" w:eastAsia="Arial Unicode MS"/>
          <w:sz w:val="22"/>
          <w:szCs w:val="22"/>
        </w:rPr>
      </w:pPr>
      <w:r>
        <w:rPr/>
        <w:pict>
          <v:group style="position:absolute;margin-left:144.770004pt;margin-top:-2.315pt;width:411.75pt;height:.13pt;mso-position-horizontal-relative:page;mso-position-vertical-relative:paragraph;z-index:-386" coordorigin="2895,-46" coordsize="8235,3">
            <v:shape style="position:absolute;left:2895;top:-46;width:8235;height:3" coordorigin="2895,-46" coordsize="8235,3" path="m2895,-46l11130,-44e" filled="f" stroked="t" strokeweight="1.5pt" strokecolor="#000000">
              <v:path arrowok="t"/>
            </v:shape>
            <w10:wrap type="none"/>
          </v:group>
        </w:pict>
      </w:r>
      <w:r>
        <w:rPr/>
        <w:pict>
          <v:group style="position:absolute;margin-left:37.849998pt;margin-top:4.825pt;width:525.6pt;height:43.59320pt;mso-position-horizontal-relative:page;mso-position-vertical-relative:paragraph;z-index:-384" coordorigin="757,96" coordsize="10512,872">
            <v:shape style="position:absolute;left:757;top:96;width:10512;height:872" coordorigin="757,96" coordsize="10512,872" path="m757,968l11269,968,11269,96,757,96,757,968xe" filled="t" fillcolor="#D2D2D2" stroked="f">
              <v:path arrowok="t"/>
              <v:fill/>
            </v:shape>
            <w10:wrap type="none"/>
          </v:group>
        </w:pict>
      </w:r>
      <w:r>
        <w:rPr>
          <w:rFonts w:ascii="Arial Unicode MS" w:hAnsi="Arial Unicode MS" w:cs="Arial Unicode MS" w:eastAsia="Arial Unicode MS"/>
          <w:spacing w:val="0"/>
          <w:w w:val="100"/>
          <w:position w:val="0"/>
          <w:sz w:val="22"/>
          <w:szCs w:val="22"/>
        </w:rPr>
        <w:t>法定数据</w:t>
        <w:tab/>
      </w:r>
      <w:r>
        <w:rPr>
          <w:rFonts w:ascii="Arial Unicode MS" w:hAnsi="Arial Unicode MS" w:cs="Arial Unicode MS" w:eastAsia="Arial Unicode MS"/>
          <w:spacing w:val="0"/>
          <w:w w:val="100"/>
          <w:position w:val="0"/>
          <w:sz w:val="22"/>
          <w:szCs w:val="22"/>
        </w:rPr>
        <w:t>挥发性有机化合物</w:t>
      </w:r>
      <w:r>
        <w:rPr>
          <w:rFonts w:ascii="Arial Unicode MS" w:hAnsi="Arial Unicode MS" w:cs="Arial Unicode MS" w:eastAsia="Arial Unicode MS"/>
          <w:spacing w:val="0"/>
          <w:w w:val="100"/>
          <w:position w:val="0"/>
          <w:sz w:val="22"/>
          <w:szCs w:val="22"/>
        </w:rPr>
      </w:r>
    </w:p>
    <w:p>
      <w:pPr>
        <w:spacing w:before="0"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377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280</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4148" w:space="669"/>
            <w:col w:w="5923"/>
          </w:cols>
        </w:sectPr>
      </w:pPr>
    </w:p>
    <w:p>
      <w:pPr>
        <w:spacing w:before="15" w:after="0" w:line="185" w:lineRule="auto"/>
        <w:ind w:left="2388" w:right="4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680" w:bottom="1780" w:left="620" w:right="540"/>
        </w:sectPr>
      </w:pPr>
    </w:p>
    <w:p>
      <w:pPr>
        <w:spacing w:before="0" w:after="0" w:line="380"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表面处理</w:t>
      </w:r>
      <w:r>
        <w:rPr>
          <w:rFonts w:ascii="Arial Unicode MS" w:hAnsi="Arial Unicode MS" w:cs="Arial Unicode MS" w:eastAsia="Arial Unicode MS"/>
          <w:spacing w:val="0"/>
          <w:w w:val="100"/>
          <w:position w:val="0"/>
          <w:sz w:val="22"/>
          <w:szCs w:val="22"/>
        </w:rPr>
      </w:r>
    </w:p>
    <w:p>
      <w:pPr>
        <w:spacing w:before="88" w:after="0" w:line="185" w:lineRule="auto"/>
        <w:ind w:right="362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0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71" w:after="0" w:line="185" w:lineRule="auto"/>
        <w:ind w:left="6" w:right="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应总是施工在所推荐的底漆上。底漆表面应是干燥的，不含任何污染物，且</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必须在规定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的复涂间隔内进行施工（请参阅相关的产品说明书）。</w:t>
      </w:r>
    </w:p>
    <w:p>
      <w:pPr>
        <w:spacing w:before="0" w:after="0" w:line="22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破损、损坏等区域应处理至规定的标准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(例如：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，并在施工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前涂上底漆。</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有关详细的施工程序，请向国际油漆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40" w:lineRule="auto" w:after="0"/>
        <w:jc w:val="left"/>
        <w:rPr>
          <w:rFonts w:ascii="Arial Unicode MS" w:hAnsi="Arial Unicode MS" w:cs="Arial Unicode MS" w:eastAsia="Arial Unicode MS"/>
          <w:sz w:val="16"/>
          <w:szCs w:val="16"/>
        </w:rPr>
        <w:sectPr>
          <w:headerReference w:type="default" r:id="rId7"/>
          <w:pgSz w:w="11900" w:h="16820"/>
          <w:pgMar w:header="299" w:footer="1582" w:top="1680" w:bottom="1780" w:left="620" w:right="540"/>
          <w:cols w:num="2" w:equalWidth="0">
            <w:col w:w="1018" w:space="1274"/>
            <w:col w:w="8448"/>
          </w:cols>
        </w:sectPr>
      </w:pPr>
    </w:p>
    <w:p>
      <w:pPr>
        <w:spacing w:before="39" w:after="0" w:line="274" w:lineRule="auto"/>
        <w:ind w:left="137" w:right="58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混合</w:t>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9" w:after="0" w:line="200" w:lineRule="exact"/>
        <w:jc w:val="left"/>
        <w:rPr>
          <w:sz w:val="20"/>
          <w:szCs w:val="20"/>
        </w:rPr>
      </w:pPr>
      <w:r>
        <w:rPr>
          <w:sz w:val="20"/>
          <w:szCs w:val="20"/>
        </w:rPr>
      </w:r>
    </w:p>
    <w:p>
      <w:pPr>
        <w:spacing w:before="0" w:after="0" w:line="324" w:lineRule="auto"/>
        <w:ind w:left="137" w:right="14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无气喷涂</w:t>
      </w:r>
    </w:p>
    <w:p>
      <w:pPr>
        <w:spacing w:before="18" w:after="0" w:line="240" w:lineRule="exact"/>
        <w:jc w:val="left"/>
        <w:rPr>
          <w:sz w:val="24"/>
          <w:szCs w:val="24"/>
        </w:rPr>
      </w:pPr>
      <w:r>
        <w:rPr>
          <w:sz w:val="24"/>
          <w:szCs w:val="24"/>
        </w:rPr>
      </w:r>
    </w:p>
    <w:p>
      <w:pPr>
        <w:spacing w:before="0" w:after="0" w:line="366" w:lineRule="exact"/>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传统型喷涂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刷涂</w:t>
      </w:r>
    </w:p>
    <w:p>
      <w:pPr>
        <w:spacing w:before="5" w:after="0" w:line="100" w:lineRule="exact"/>
        <w:jc w:val="left"/>
        <w:rPr>
          <w:sz w:val="10"/>
          <w:szCs w:val="10"/>
        </w:rPr>
      </w:pPr>
      <w:r>
        <w:rPr>
          <w:sz w:val="10"/>
          <w:szCs w:val="10"/>
        </w:rPr>
      </w:r>
    </w:p>
    <w:p>
      <w:pPr>
        <w:spacing w:before="0" w:after="0" w:line="240" w:lineRule="auto"/>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漆辊</w:t>
      </w:r>
    </w:p>
    <w:p>
      <w:pPr>
        <w:spacing w:before="4" w:after="0" w:line="160" w:lineRule="exact"/>
        <w:jc w:val="left"/>
        <w:rPr>
          <w:sz w:val="16"/>
          <w:szCs w:val="16"/>
        </w:rPr>
      </w:pPr>
      <w:r>
        <w:rPr>
          <w:sz w:val="16"/>
          <w:szCs w:val="16"/>
        </w:rPr>
      </w:r>
    </w:p>
    <w:p>
      <w:pPr>
        <w:spacing w:before="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清洁剂</w:t>
      </w:r>
      <w:r>
        <w:rPr>
          <w:rFonts w:ascii="Arial Unicode MS" w:hAnsi="Arial Unicode MS" w:cs="Arial Unicode MS" w:eastAsia="Arial Unicode MS"/>
          <w:spacing w:val="0"/>
          <w:w w:val="100"/>
          <w:position w:val="0"/>
          <w:sz w:val="22"/>
          <w:szCs w:val="22"/>
        </w:rPr>
      </w:r>
    </w:p>
    <w:p>
      <w:pPr>
        <w:spacing w:before="5" w:after="0" w:line="160" w:lineRule="exact"/>
        <w:jc w:val="left"/>
        <w:rPr>
          <w:sz w:val="16"/>
          <w:szCs w:val="16"/>
        </w:rPr>
      </w:pPr>
      <w:r>
        <w:rPr/>
        <w:br w:type="column"/>
      </w: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185" w:lineRule="auto"/>
        <w:ind w:left="30" w:right="266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涂料分装在三个容器中，作为一组供应。使用时应始终按供应的比例整组混合。</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(1)采用电动搅拌器搅拌甲组份。</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(2)混合全部甲组份和乙组份，并采用电动搅拌器彻底搅拌。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(3)将丙组份全部加入，并采用电动搅拌器彻底搅拌。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一组油漆一经混合，必须在规定的混合后施工时间内使用。</w:t>
      </w:r>
    </w:p>
    <w:p>
      <w:pPr>
        <w:spacing w:before="1" w:after="0" w:line="160" w:lineRule="exact"/>
        <w:jc w:val="left"/>
        <w:rPr>
          <w:sz w:val="16"/>
          <w:szCs w:val="16"/>
        </w:rPr>
      </w:pPr>
      <w:r>
        <w:rPr>
          <w:sz w:val="16"/>
          <w:szCs w:val="16"/>
        </w:rPr>
      </w:r>
    </w:p>
    <w:p>
      <w:pPr>
        <w:spacing w:before="0" w:after="0" w:line="185" w:lineRule="auto"/>
        <w:ind w:left="15" w:right="22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GTA007</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5%）。稀释不要超过当地环保法规所允</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许的范围。</w:t>
      </w:r>
    </w:p>
    <w:p>
      <w:pPr>
        <w:spacing w:before="34"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0.38-0.53</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(15-21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(3000磅/平方英寸)</w:t>
      </w:r>
      <w:r>
        <w:rPr>
          <w:rFonts w:ascii="Arial Unicode MS" w:hAnsi="Arial Unicode MS" w:cs="Arial Unicode MS" w:eastAsia="Arial Unicode MS"/>
          <w:spacing w:val="0"/>
          <w:w w:val="100"/>
          <w:sz w:val="16"/>
          <w:szCs w:val="16"/>
        </w:rPr>
      </w:r>
    </w:p>
    <w:p>
      <w:pPr>
        <w:spacing w:before="8"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不推荐采用传统型喷涂方法进行施工。</w:t>
      </w:r>
    </w:p>
    <w:p>
      <w:pPr>
        <w:spacing w:before="2" w:after="0" w:line="140" w:lineRule="exact"/>
        <w:jc w:val="left"/>
        <w:rPr>
          <w:sz w:val="14"/>
          <w:szCs w:val="14"/>
        </w:rPr>
      </w:pPr>
      <w:r>
        <w:rPr>
          <w:sz w:val="14"/>
          <w:szCs w:val="14"/>
        </w:rPr>
      </w:r>
    </w:p>
    <w:p>
      <w:pPr>
        <w:spacing w:before="0" w:after="0" w:line="185" w:lineRule="auto"/>
        <w:ind w:right="33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before="71" w:after="0" w:line="185" w:lineRule="auto"/>
        <w:ind w:right="33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辊涂施工仅建议用于小面积。可能需要多道涂层，以达到规定的膜厚。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before="63"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8"/>
          <w:pgSz w:w="11900" w:h="16820"/>
          <w:pgMar w:header="299" w:footer="1582" w:top="1040" w:bottom="1780" w:left="620" w:right="540"/>
          <w:cols w:num="2" w:equalWidth="0">
            <w:col w:w="1238" w:space="1149"/>
            <w:col w:w="8353"/>
          </w:cols>
        </w:sectPr>
      </w:pPr>
    </w:p>
    <w:p>
      <w:pPr>
        <w:tabs>
          <w:tab w:pos="2380" w:val="left"/>
        </w:tabs>
        <w:spacing w:before="90" w:after="0" w:line="158" w:lineRule="auto"/>
        <w:ind w:left="2387" w:right="247"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不要让涂料残留在软管、喷枪或喷涂设备中。采用国际牌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彻底冲洗所有设备。一组油漆一经混合，不应再</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行密封，施工中如停顿时间过长，建议重新混合各组份，再开始施工。</w:t>
      </w:r>
    </w:p>
    <w:p>
      <w:pPr>
        <w:spacing w:before="5" w:after="0" w:line="185" w:lineRule="auto"/>
        <w:ind w:left="2387" w:right="24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所有设备在使用后应立即采用国际牌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进行清洗。在一天的工作过程中定时冲洗喷涂设备是一种良好的工作</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习惯。清洗次数取决于喷涂数量、温度和使用时间(包括耽搁的时间)。不要超过涂料的混合后施工时间。</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所有剩余涂料和空容器应按照当地适宜的规章/法律进行处置。</w:t>
      </w:r>
      <w:r>
        <w:rPr>
          <w:rFonts w:ascii="Arial Unicode MS" w:hAnsi="Arial Unicode MS" w:cs="Arial Unicode MS" w:eastAsia="Arial Unicode MS"/>
          <w:spacing w:val="0"/>
          <w:w w:val="100"/>
          <w:sz w:val="16"/>
          <w:szCs w:val="16"/>
        </w:rPr>
      </w:r>
    </w:p>
    <w:p>
      <w:pPr>
        <w:spacing w:before="7" w:after="0" w:line="240" w:lineRule="exact"/>
        <w:jc w:val="left"/>
        <w:rPr>
          <w:sz w:val="24"/>
          <w:szCs w:val="24"/>
        </w:rPr>
      </w:pPr>
      <w:r>
        <w:rPr>
          <w:sz w:val="24"/>
          <w:szCs w:val="24"/>
        </w:rPr>
      </w:r>
    </w:p>
    <w:p>
      <w:pPr>
        <w:tabs>
          <w:tab w:pos="2360" w:val="left"/>
        </w:tabs>
        <w:spacing w:before="8" w:after="0" w:line="158" w:lineRule="auto"/>
        <w:ind w:left="2372" w:right="306" w:hanging="2235"/>
        <w:jc w:val="left"/>
        <w:rPr>
          <w:rFonts w:ascii="Arial Unicode MS" w:hAnsi="Arial Unicode MS" w:cs="Arial Unicode MS" w:eastAsia="Arial Unicode MS"/>
          <w:sz w:val="16"/>
          <w:szCs w:val="16"/>
        </w:rPr>
      </w:pPr>
      <w:r>
        <w:rPr/>
        <w:pict>
          <v:group style="position:absolute;margin-left:149.600006pt;margin-top:27.475388pt;width:405.75pt;height:.1pt;mso-position-horizontal-relative:page;mso-position-vertical-relative:paragraph;z-index:-383" coordorigin="2992,550" coordsize="8115,2">
            <v:shape style="position:absolute;left:2992;top:550;width:8115;height:2" coordorigin="2992,550" coordsize="8115,0" path="m2992,550l11107,550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7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38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680" w:bottom="1780" w:left="620" w:right="540"/>
        </w:sectPr>
      </w:pPr>
    </w:p>
    <w:p>
      <w:pPr>
        <w:spacing w:before="9" w:after="0" w:line="120" w:lineRule="exact"/>
        <w:jc w:val="left"/>
        <w:rPr>
          <w:sz w:val="12"/>
          <w:szCs w:val="12"/>
        </w:rPr>
      </w:pPr>
      <w:r>
        <w:rPr>
          <w:sz w:val="12"/>
          <w:szCs w:val="12"/>
        </w:rPr>
      </w:r>
    </w:p>
    <w:p>
      <w:pPr>
        <w:tabs>
          <w:tab w:pos="2280" w:val="left"/>
        </w:tabs>
        <w:spacing w:before="0" w:after="0" w:line="158" w:lineRule="auto"/>
        <w:ind w:left="2297" w:right="140"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限制</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施工时可接受的最低底材温度为</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0°C。要求最低相对湿度为</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30%，以确保合适固化。如果相对湿度低于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30%，将需要</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更长的固化时间。</w:t>
      </w:r>
    </w:p>
    <w:p>
      <w:pPr>
        <w:spacing w:before="5" w:after="0" w:line="185" w:lineRule="auto"/>
        <w:ind w:left="2297" w:right="248"/>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应注意避免在其它已涂装区域上出现过喷情况。</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应采取措施以防邻近区域的有机硅污染。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在使用前或再使用其它涂料前，所有设备必须彻底清洗，以防污染。不允许用于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的液体清洁剂沾污其</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它油漆。</w:t>
      </w:r>
    </w:p>
    <w:p>
      <w:pPr>
        <w:spacing w:before="14" w:after="0" w:line="200" w:lineRule="exact"/>
        <w:jc w:val="left"/>
        <w:rPr>
          <w:sz w:val="20"/>
          <w:szCs w:val="20"/>
        </w:rPr>
      </w:pPr>
      <w:r>
        <w:rPr>
          <w:sz w:val="20"/>
          <w:szCs w:val="20"/>
        </w:rPr>
      </w:r>
    </w:p>
    <w:p>
      <w:pPr>
        <w:spacing w:before="0" w:after="0" w:line="185" w:lineRule="auto"/>
        <w:ind w:left="2297" w:right="22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代表咨询。</w:t>
      </w:r>
    </w:p>
    <w:p>
      <w:pPr>
        <w:spacing w:before="0" w:after="0" w:line="185" w:lineRule="auto"/>
        <w:ind w:left="2297" w:right="221"/>
        <w:jc w:val="left"/>
        <w:rPr>
          <w:rFonts w:ascii="Arial Unicode MS" w:hAnsi="Arial Unicode MS" w:cs="Arial Unicode MS" w:eastAsia="Arial Unicode MS"/>
          <w:sz w:val="16"/>
          <w:szCs w:val="16"/>
        </w:rPr>
      </w:pPr>
      <w:r>
        <w:rPr/>
        <w:pict>
          <v:group style="position:absolute;margin-left:145.850006pt;margin-top:70.012695pt;width:417.6pt;height:.1pt;mso-position-horizontal-relative:page;mso-position-vertical-relative:paragraph;z-index:-382" coordorigin="2917,1400" coordsize="8352,2">
            <v:shape style="position:absolute;left:2917;top:1400;width:8352;height:2" coordorigin="2917,1400" coordsize="8352,0" path="m2917,1400l11269,1400e" filled="f" stroked="t" strokeweight="1.5pt" strokecolor="#000000">
              <v:path arrowok="t"/>
            </v:shape>
            <w10:wrap type="none"/>
          </v:group>
        </w:pict>
      </w: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慎。</w:t>
      </w:r>
    </w:p>
    <w:p>
      <w:pPr>
        <w:spacing w:before="3" w:after="0" w:line="280" w:lineRule="exact"/>
        <w:jc w:val="left"/>
        <w:rPr>
          <w:sz w:val="28"/>
          <w:szCs w:val="28"/>
        </w:rPr>
      </w:pPr>
      <w:r>
        <w:rPr>
          <w:sz w:val="28"/>
          <w:szCs w:val="28"/>
        </w:rPr>
      </w:r>
    </w:p>
    <w:p>
      <w:pPr>
        <w:spacing w:before="0" w:after="0" w:line="280" w:lineRule="exact"/>
        <w:ind w:left="137" w:right="-20"/>
        <w:jc w:val="left"/>
        <w:rPr>
          <w:rFonts w:ascii="Arial Unicode MS" w:hAnsi="Arial Unicode MS" w:cs="Arial Unicode MS" w:eastAsia="Arial Unicode MS"/>
          <w:sz w:val="22"/>
          <w:szCs w:val="22"/>
        </w:rPr>
      </w:pPr>
      <w:r>
        <w:rPr/>
        <w:pict>
          <v:group style="position:absolute;margin-left:37.849998pt;margin-top:2.315246pt;width:522.75pt;height:51.88580pt;mso-position-horizontal-relative:page;mso-position-vertical-relative:paragraph;z-index:-381" coordorigin="757,46" coordsize="10455,1038">
            <v:shape style="position:absolute;left:757;top:46;width:10455;height:1038" coordorigin="757,46" coordsize="10455,1038" path="m757,1084l11212,1084,11212,46,757,46,757,1084xe" filled="t" fillcolor="#D2D2D2" stroked="f">
              <v:path arrowok="t"/>
              <v:fill/>
            </v:shape>
            <w10:wrap type="none"/>
          </v:group>
        </w:pict>
      </w:r>
      <w:r>
        <w:rPr/>
        <w:pict>
          <v:shape style="position:absolute;margin-left:166.5pt;margin-top:2.315246pt;width:394.1pt;height:34.935716pt;mso-position-horizontal-relative:page;mso-position-vertical-relative:paragraph;z-index:-377"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169" w:hRule="exact"/>
                    </w:trPr>
                    <w:tc>
                      <w:tcPr>
                        <w:tcW w:w="989"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包装规格</w:t>
                        </w:r>
                        <w:r>
                          <w:rPr>
                            <w:rFonts w:ascii="Arial Unicode MS" w:hAnsi="Arial Unicode MS" w:cs="Arial Unicode MS" w:eastAsia="Arial Unicode MS"/>
                            <w:spacing w:val="0"/>
                            <w:w w:val="100"/>
                            <w:position w:val="0"/>
                            <w:sz w:val="14"/>
                            <w:szCs w:val="14"/>
                          </w:rPr>
                        </w:r>
                      </w:p>
                    </w:tc>
                    <w:tc>
                      <w:tcPr>
                        <w:tcW w:w="1176"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70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甲组份</w:t>
                        </w:r>
                        <w:r>
                          <w:rPr>
                            <w:rFonts w:ascii="Arial Unicode MS" w:hAnsi="Arial Unicode MS" w:cs="Arial Unicode MS" w:eastAsia="Arial Unicode MS"/>
                            <w:spacing w:val="0"/>
                            <w:w w:val="100"/>
                            <w:position w:val="0"/>
                            <w:sz w:val="14"/>
                            <w:szCs w:val="14"/>
                          </w:rPr>
                        </w:r>
                      </w:p>
                    </w:tc>
                    <w:tc>
                      <w:tcPr>
                        <w:tcW w:w="899" w:type="dxa"/>
                        <w:tcBorders>
                          <w:top w:val="nil" w:sz="6" w:space="0" w:color="auto"/>
                          <w:left w:val="nil" w:sz="6" w:space="0" w:color="auto"/>
                          <w:bottom w:val="nil" w:sz="6" w:space="0" w:color="auto"/>
                          <w:right w:val="nil" w:sz="6" w:space="0" w:color="auto"/>
                        </w:tcBorders>
                        <w:shd w:val="clear" w:color="auto" w:fill="D2D2D2"/>
                      </w:tcPr>
                      <w:p>
                        <w:pPr/>
                      </w:p>
                    </w:tc>
                    <w:tc>
                      <w:tcPr>
                        <w:tcW w:w="1148"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4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乙组份</w:t>
                        </w:r>
                        <w:r>
                          <w:rPr>
                            <w:rFonts w:ascii="Arial Unicode MS" w:hAnsi="Arial Unicode MS" w:cs="Arial Unicode MS" w:eastAsia="Arial Unicode MS"/>
                            <w:spacing w:val="0"/>
                            <w:w w:val="100"/>
                            <w:position w:val="0"/>
                            <w:sz w:val="14"/>
                            <w:szCs w:val="14"/>
                          </w:rPr>
                        </w:r>
                      </w:p>
                    </w:tc>
                    <w:tc>
                      <w:tcPr>
                        <w:tcW w:w="861" w:type="dxa"/>
                        <w:tcBorders>
                          <w:top w:val="nil" w:sz="6" w:space="0" w:color="auto"/>
                          <w:left w:val="nil" w:sz="6" w:space="0" w:color="auto"/>
                          <w:bottom w:val="nil" w:sz="6" w:space="0" w:color="auto"/>
                          <w:right w:val="nil" w:sz="6" w:space="0" w:color="auto"/>
                        </w:tcBorders>
                        <w:shd w:val="clear" w:color="auto" w:fill="D2D2D2"/>
                      </w:tcPr>
                      <w:p>
                        <w:pPr/>
                      </w:p>
                    </w:tc>
                    <w:tc>
                      <w:tcPr>
                        <w:tcW w:w="1162"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6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丙组份</w:t>
                        </w:r>
                        <w:r>
                          <w:rPr>
                            <w:rFonts w:ascii="Arial Unicode MS" w:hAnsi="Arial Unicode MS" w:cs="Arial Unicode MS" w:eastAsia="Arial Unicode MS"/>
                            <w:spacing w:val="0"/>
                            <w:w w:val="100"/>
                            <w:position w:val="0"/>
                            <w:sz w:val="14"/>
                            <w:szCs w:val="14"/>
                          </w:rPr>
                        </w:r>
                      </w:p>
                    </w:tc>
                    <w:tc>
                      <w:tcPr>
                        <w:tcW w:w="1646" w:type="dxa"/>
                        <w:tcBorders>
                          <w:top w:val="nil" w:sz="6" w:space="0" w:color="auto"/>
                          <w:left w:val="nil" w:sz="6" w:space="0" w:color="auto"/>
                          <w:bottom w:val="nil" w:sz="6" w:space="0" w:color="auto"/>
                          <w:right w:val="nil" w:sz="6" w:space="0" w:color="auto"/>
                        </w:tcBorders>
                        <w:shd w:val="clear" w:color="auto" w:fill="D2D2D2"/>
                      </w:tcPr>
                      <w:p>
                        <w:pPr/>
                      </w:p>
                    </w:tc>
                  </w:tr>
                  <w:tr>
                    <w:trPr>
                      <w:trHeight w:val="225" w:hRule="exact"/>
                    </w:trPr>
                    <w:tc>
                      <w:tcPr>
                        <w:tcW w:w="989" w:type="dxa"/>
                        <w:tcBorders>
                          <w:top w:val="nil" w:sz="6" w:space="0" w:color="auto"/>
                          <w:left w:val="nil" w:sz="6" w:space="0" w:color="auto"/>
                          <w:bottom w:val="nil" w:sz="6" w:space="0" w:color="auto"/>
                          <w:right w:val="nil" w:sz="6" w:space="0" w:color="auto"/>
                        </w:tcBorders>
                        <w:shd w:val="clear" w:color="auto" w:fill="D2D2D2"/>
                      </w:tcPr>
                      <w:p>
                        <w:pPr/>
                      </w:p>
                    </w:tc>
                    <w:tc>
                      <w:tcPr>
                        <w:tcW w:w="1176"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76" w:right="43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899"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2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c>
                      <w:tcPr>
                        <w:tcW w:w="1148"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7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861"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8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c>
                      <w:tcPr>
                        <w:tcW w:w="1162"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1646"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7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r>
                  <w:tr>
                    <w:trPr>
                      <w:trHeight w:val="305" w:hRule="exact"/>
                    </w:trPr>
                    <w:tc>
                      <w:tcPr>
                        <w:tcW w:w="989"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1176"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8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4</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899"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5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1148"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5</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861"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5</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1162"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1646"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8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r>
                </w:tbl>
                <w:p>
                  <w:pPr>
                    <w:spacing w:before="0" w:after="0" w:line="240" w:lineRule="auto"/>
                    <w:jc w:val="left"/>
                  </w:pPr>
                </w:p>
              </w:txbxContent>
            </v:textbox>
            <w10:wrap type="none"/>
          </v:shape>
        </w:pict>
      </w:r>
      <w:r>
        <w:rPr>
          <w:rFonts w:ascii="Arial Unicode MS" w:hAnsi="Arial Unicode MS" w:cs="Arial Unicode MS" w:eastAsia="Arial Unicode MS"/>
          <w:spacing w:val="0"/>
          <w:w w:val="100"/>
          <w:position w:val="0"/>
          <w:sz w:val="22"/>
          <w:szCs w:val="22"/>
        </w:rPr>
        <w:t>包装规格</w:t>
      </w:r>
      <w:r>
        <w:rPr>
          <w:rFonts w:ascii="Arial Unicode MS" w:hAnsi="Arial Unicode MS" w:cs="Arial Unicode MS" w:eastAsia="Arial Unicode MS"/>
          <w:spacing w:val="0"/>
          <w:w w:val="100"/>
          <w:position w:val="0"/>
          <w:sz w:val="22"/>
          <w:szCs w:val="22"/>
        </w:rPr>
      </w:r>
    </w:p>
    <w:p>
      <w:pPr>
        <w:spacing w:before="0" w:after="0" w:line="160" w:lineRule="exact"/>
        <w:jc w:val="left"/>
        <w:rPr>
          <w:sz w:val="16"/>
          <w:szCs w:val="16"/>
        </w:rPr>
      </w:pP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99"/>
          <w:position w:val="0"/>
          <w:sz w:val="14"/>
          <w:szCs w:val="14"/>
        </w:rPr>
        <w:t>有关其它包装尺寸，请向国际油漆</w:t>
      </w:r>
      <w:r>
        <w:rPr>
          <w:rFonts w:ascii="Arial Unicode MS" w:hAnsi="Arial Unicode MS" w:cs="Arial Unicode MS" w:eastAsia="Arial Unicode MS"/>
          <w:spacing w:val="0"/>
          <w:w w:val="99"/>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5176pt;width:522.75pt;height:28.6459pt;mso-position-horizontal-relative:page;mso-position-vertical-relative:paragraph;z-index:-380" coordorigin="757,139" coordsize="10455,573">
            <v:shape style="position:absolute;left:757;top:139;width:10455;height:573" coordorigin="757,139" coordsize="10455,573" path="m757,712l11212,712,11212,139,757,139,757,712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20" w:val="left"/>
        </w:tabs>
        <w:spacing w:before="0" w:after="0" w:line="169"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tab/>
      </w:r>
      <w:r>
        <w:rPr>
          <w:rFonts w:ascii="Arial Unicode MS" w:hAnsi="Arial Unicode MS" w:cs="Arial Unicode MS" w:eastAsia="Arial Unicode MS"/>
          <w:spacing w:val="0"/>
          <w:w w:val="100"/>
          <w:position w:val="0"/>
          <w:sz w:val="14"/>
          <w:szCs w:val="14"/>
        </w:rPr>
        <w:t>14.2</w:t>
      </w:r>
      <w:r>
        <w:rPr>
          <w:rFonts w:ascii="Arial Unicode MS" w:hAnsi="Arial Unicode MS" w:cs="Arial Unicode MS" w:eastAsia="Arial Unicode MS"/>
          <w:spacing w:val="-3"/>
          <w:w w:val="100"/>
          <w:position w:val="0"/>
          <w:sz w:val="14"/>
          <w:szCs w:val="14"/>
        </w:rPr>
        <w:t> </w:t>
      </w:r>
      <w:r>
        <w:rPr>
          <w:rFonts w:ascii="Arial Unicode MS" w:hAnsi="Arial Unicode MS" w:cs="Arial Unicode MS" w:eastAsia="Arial Unicode MS"/>
          <w:spacing w:val="0"/>
          <w:w w:val="100"/>
          <w:position w:val="0"/>
          <w:sz w:val="14"/>
          <w:szCs w:val="14"/>
        </w:rPr>
        <w:t>千克</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4" w:lineRule="exact"/>
        <w:ind w:left="137" w:right="-20"/>
        <w:jc w:val="left"/>
        <w:rPr>
          <w:rFonts w:ascii="Arial Unicode MS" w:hAnsi="Arial Unicode MS" w:cs="Arial Unicode MS" w:eastAsia="Arial Unicode MS"/>
          <w:sz w:val="16"/>
          <w:szCs w:val="16"/>
        </w:rPr>
      </w:pPr>
      <w:r>
        <w:rPr/>
        <w:pict>
          <v:group style="position:absolute;margin-left:37.349998pt;margin-top:2.001924pt;width:524.5pt;height:20.9883pt;mso-position-horizontal-relative:page;mso-position-vertical-relative:paragraph;z-index:-379" coordorigin="747,40" coordsize="10490,420">
            <v:group style="position:absolute;left:757;top:50;width:10470;height:400" coordorigin="757,50" coordsize="10470,400">
              <v:shape style="position:absolute;left:757;top:50;width:10470;height:400" coordorigin="757,50" coordsize="10470,400" path="m757,450l11227,450,11227,50,757,50,757,450xe" filled="t" fillcolor="#D2D2D2" stroked="f">
                <v:path arrowok="t"/>
                <v:fill/>
              </v:shape>
            </v:group>
            <v:group style="position:absolute;left:2917;top:435;width:8280;height:2" coordorigin="2917,435" coordsize="8280,2">
              <v:shape style="position:absolute;left:2917;top:435;width:8280;height:2" coordorigin="2917,435" coordsize="8280,0" path="m2917,435l11197,435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12</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个月。此后需复查。贮存于干燥遮蔽之处，远离热源及火种。</w:t>
      </w:r>
      <w:r>
        <w:rPr>
          <w:rFonts w:ascii="Arial Unicode MS" w:hAnsi="Arial Unicode MS" w:cs="Arial Unicode MS" w:eastAsia="Arial Unicode MS"/>
          <w:spacing w:val="0"/>
          <w:w w:val="100"/>
          <w:position w:val="0"/>
          <w:sz w:val="16"/>
          <w:szCs w:val="16"/>
        </w:rPr>
      </w:r>
    </w:p>
    <w:p>
      <w:pPr>
        <w:spacing w:before="3"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40"/>
        </w:sectPr>
      </w:pPr>
    </w:p>
    <w:p>
      <w:pPr>
        <w:spacing w:before="0" w:after="0" w:line="284"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全球供应情况</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1438" w:space="840"/>
            <w:col w:w="8462"/>
          </w:cols>
        </w:sectPr>
      </w:pPr>
    </w:p>
    <w:p>
      <w:pPr>
        <w:spacing w:before="0"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680" w:bottom="1780" w:left="620" w:right="54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2161pt;width:414pt;height:.1pt;mso-position-horizontal-relative:page;mso-position-vertical-relative:paragraph;z-index:-378"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5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99"/>
          <w:sz w:val="12"/>
          <w:szCs w:val="12"/>
        </w:rPr>
        <w:t>导致的损失或损坏在法律允许的最大范围内概不负责。</w:t>
      </w:r>
      <w:r>
        <w:rPr>
          <w:rFonts w:ascii="Arial Unicode MS" w:hAnsi="Arial Unicode MS" w:cs="Arial Unicode MS" w:eastAsia="Arial Unicode MS"/>
          <w:spacing w:val="0"/>
          <w:w w:val="99"/>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r>
        <w:rPr>
          <w:rFonts w:ascii="Arial Unicode MS" w:hAnsi="Arial Unicode MS" w:cs="Arial Unicode MS" w:eastAsia="Arial Unicode MS"/>
          <w:spacing w:val="0"/>
          <w:w w:val="100"/>
          <w:sz w:val="12"/>
          <w:szCs w:val="12"/>
        </w:rPr>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9"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0">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680" w:bottom="1780" w:left="620" w:right="540"/>
      <w:cols w:num="2" w:equalWidth="0">
        <w:col w:w="998" w:space="1274"/>
        <w:col w:w="84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382" type="#_x0000_t75">
          <v:imagedata r:id="rId1" o:title=""/>
        </v:shape>
      </w:pict>
    </w:r>
    <w:r>
      <w:rPr/>
      <w:pict>
        <v:group style="position:absolute;margin-left:36.860001pt;margin-top:780.25pt;width:455.53pt;height:.1pt;mso-position-horizontal-relative:page;mso-position-vertical-relative:page;z-index:-381"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380"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资料来源146</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87" type="#_x0000_t75">
          <v:imagedata r:id="rId1" o:title=""/>
        </v:shape>
      </w:pict>
    </w:r>
    <w:r>
      <w:rPr/>
      <w:pict>
        <v:group style="position:absolute;margin-left:145.850006pt;margin-top:83.25pt;width:414pt;height:.1pt;mso-position-horizontal-relative:page;mso-position-vertical-relative:page;z-index:-386" coordorigin="2917,1665" coordsize="8280,2">
          <v:shape style="position:absolute;left:2917;top:1665;width:8280;height:2" coordorigin="2917,1665" coordsize="8280,0" path="m2917,1665l11197,1665e" filled="f" stroked="t" strokeweight="1.5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406.019897pt;margin-top:13.964228pt;width:157.793103pt;height:39.970127pt;mso-position-horizontal-relative:page;mso-position-vertical-relative:page;z-index:-385"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Intersleek</w:t>
                </w:r>
                <w:r>
                  <w:rPr>
                    <w:rFonts w:ascii="Arial Unicode MS" w:hAnsi="Arial Unicode MS" w:cs="Arial Unicode MS" w:eastAsia="Arial Unicode MS"/>
                    <w:spacing w:val="-21"/>
                    <w:w w:val="100"/>
                    <w:position w:val="2"/>
                    <w:sz w:val="48"/>
                    <w:szCs w:val="48"/>
                  </w:rPr>
                  <w:t> </w:t>
                </w:r>
                <w:r>
                  <w:rPr>
                    <w:rFonts w:ascii="Arial Unicode MS" w:hAnsi="Arial Unicode MS" w:cs="Arial Unicode MS" w:eastAsia="Arial Unicode MS"/>
                    <w:spacing w:val="0"/>
                    <w:w w:val="100"/>
                    <w:position w:val="2"/>
                    <w:sz w:val="48"/>
                    <w:szCs w:val="48"/>
                  </w:rPr>
                  <w:t>737</w:t>
                </w:r>
                <w:r>
                  <w:rPr>
                    <w:rFonts w:ascii="Arial Unicode MS" w:hAnsi="Arial Unicode MS" w:cs="Arial Unicode MS" w:eastAsia="Arial Unicode MS"/>
                    <w:spacing w:val="0"/>
                    <w:w w:val="100"/>
                    <w:position w:val="0"/>
                    <w:sz w:val="48"/>
                    <w:szCs w:val="48"/>
                  </w:rPr>
                </w:r>
              </w:p>
              <w:p>
                <w:pPr>
                  <w:spacing w:before="0" w:after="0" w:line="262" w:lineRule="exact"/>
                  <w:ind w:left="1816"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弹性过渡涂料</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145.600006pt;margin-top:64.485977pt;width:138.000006pt;height:10pt;mso-position-horizontal-relative:page;mso-position-vertical-relative:page;z-index:-384" type="#_x0000_t202" filled="f" stroked="f">
          <v:textbox inset="0,0,0,0">
            <w:txbxContent>
              <w:p>
                <w:pPr>
                  <w:spacing w:before="0" w:after="0" w:line="191" w:lineRule="exact"/>
                  <w:ind w:left="20" w:right="-4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一种三罐装、有机硅弹性体过渡涂层。</w:t>
                </w:r>
                <w:r>
                  <w:rPr>
                    <w:rFonts w:ascii="Arial Unicode MS" w:hAnsi="Arial Unicode MS" w:cs="Arial Unicode MS" w:eastAsia="Arial Unicode MS"/>
                    <w:spacing w:val="0"/>
                    <w:w w:val="100"/>
                    <w:position w:val="0"/>
                    <w:sz w:val="16"/>
                    <w:szCs w:val="16"/>
                  </w:rPr>
                </w:r>
              </w:p>
            </w:txbxContent>
          </v:textbox>
          <w10:wrap type="none"/>
        </v:shape>
      </w:pict>
    </w:r>
    <w:r>
      <w:rPr/>
      <w:pict>
        <v:shape style="position:absolute;margin-left:36.849998pt;margin-top:64.672653pt;width:46.000002pt;height:13pt;mso-position-horizontal-relative:page;mso-position-vertical-relative:page;z-index:-383" type="#_x0000_t202" filled="f" stroked="f">
          <v:textbox inset="0,0,0,0">
            <w:txbxContent>
              <w:p>
                <w:pPr>
                  <w:spacing w:before="0" w:after="0" w:line="255" w:lineRule="exact"/>
                  <w:ind w:left="20"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产品概述</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79" type="#_x0000_t75">
          <v:imagedata r:id="rId1" o:title=""/>
        </v:shape>
      </w:pict>
    </w:r>
    <w:r>
      <w:rPr/>
      <w:pict>
        <v:group style="position:absolute;margin-left:145.570007pt;margin-top:84.290001pt;width:414.0pt;height:.1pt;mso-position-horizontal-relative:page;mso-position-vertical-relative:page;z-index:-378" coordorigin="2911,1686" coordsize="8280,2">
          <v:shape style="position:absolute;left:2911;top:1686;width:8280;height:2" coordorigin="2911,1686" coordsize="8280,0" path="m2911,1686l11191,1686e" filled="f" stroked="t" strokeweight="1.5pt" strokecolor="#000000">
            <v:path arrowok="t"/>
          </v:shape>
          <w10:wrap type="none"/>
        </v:group>
      </w:pict>
    </w:r>
    <w:r>
      <w:rPr/>
      <w:pict>
        <v:shape style="position:absolute;margin-left:406.019897pt;margin-top:13.964228pt;width:157.793103pt;height:39.970127pt;mso-position-horizontal-relative:page;mso-position-vertical-relative:page;z-index:-377"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Intersleek</w:t>
                </w:r>
                <w:r>
                  <w:rPr>
                    <w:rFonts w:ascii="Arial Unicode MS" w:hAnsi="Arial Unicode MS" w:cs="Arial Unicode MS" w:eastAsia="Arial Unicode MS"/>
                    <w:spacing w:val="-21"/>
                    <w:w w:val="100"/>
                    <w:position w:val="2"/>
                    <w:sz w:val="48"/>
                    <w:szCs w:val="48"/>
                  </w:rPr>
                  <w:t> </w:t>
                </w:r>
                <w:r>
                  <w:rPr>
                    <w:rFonts w:ascii="Arial Unicode MS" w:hAnsi="Arial Unicode MS" w:cs="Arial Unicode MS" w:eastAsia="Arial Unicode MS"/>
                    <w:spacing w:val="0"/>
                    <w:w w:val="100"/>
                    <w:position w:val="2"/>
                    <w:sz w:val="48"/>
                    <w:szCs w:val="48"/>
                  </w:rPr>
                  <w:t>737</w:t>
                </w:r>
                <w:r>
                  <w:rPr>
                    <w:rFonts w:ascii="Arial Unicode MS" w:hAnsi="Arial Unicode MS" w:cs="Arial Unicode MS" w:eastAsia="Arial Unicode MS"/>
                    <w:spacing w:val="0"/>
                    <w:w w:val="100"/>
                    <w:position w:val="0"/>
                    <w:sz w:val="48"/>
                    <w:szCs w:val="48"/>
                  </w:rPr>
                </w:r>
              </w:p>
              <w:p>
                <w:pPr>
                  <w:spacing w:before="0" w:after="0" w:line="262" w:lineRule="exact"/>
                  <w:ind w:left="1816"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弹性过渡涂料</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36.849998pt;margin-top:66.688652pt;width:68.000003pt;height:13pt;mso-position-horizontal-relative:page;mso-position-vertical-relative:page;z-index:-376" type="#_x0000_t202" filled="f" stroked="f">
          <v:textbox inset="0,0,0,0">
            <w:txbxContent>
              <w:p>
                <w:pPr>
                  <w:spacing w:before="0" w:after="0" w:line="255" w:lineRule="exact"/>
                  <w:ind w:left="20"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体系及配套性</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146.727997pt;margin-top:66.501976pt;width:300.192014pt;height:10pt;mso-position-horizontal-relative:page;mso-position-vertical-relative:page;z-index:-375" type="#_x0000_t202" filled="f" stroked="f">
          <v:textbox inset="0,0,0,0">
            <w:txbxContent>
              <w:p>
                <w:pPr>
                  <w:spacing w:before="0" w:after="0" w:line="191" w:lineRule="exact"/>
                  <w:ind w:left="20" w:right="-4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有关最适于待保护表面的漆系，请向贵处的国际油漆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74" type="#_x0000_t75">
          <v:imagedata r:id="rId1" o:title=""/>
        </v:shape>
      </w:pict>
    </w:r>
    <w:r>
      <w:rPr/>
      <w:pict>
        <v:shape style="position:absolute;margin-left:406.019897pt;margin-top:13.964228pt;width:157.793103pt;height:39.970127pt;mso-position-horizontal-relative:page;mso-position-vertical-relative:page;z-index:-373"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Intersleek</w:t>
                </w:r>
                <w:r>
                  <w:rPr>
                    <w:rFonts w:ascii="Arial Unicode MS" w:hAnsi="Arial Unicode MS" w:cs="Arial Unicode MS" w:eastAsia="Arial Unicode MS"/>
                    <w:spacing w:val="-21"/>
                    <w:w w:val="100"/>
                    <w:position w:val="2"/>
                    <w:sz w:val="48"/>
                    <w:szCs w:val="48"/>
                  </w:rPr>
                  <w:t> </w:t>
                </w:r>
                <w:r>
                  <w:rPr>
                    <w:rFonts w:ascii="Arial Unicode MS" w:hAnsi="Arial Unicode MS" w:cs="Arial Unicode MS" w:eastAsia="Arial Unicode MS"/>
                    <w:spacing w:val="0"/>
                    <w:w w:val="100"/>
                    <w:position w:val="2"/>
                    <w:sz w:val="48"/>
                    <w:szCs w:val="48"/>
                  </w:rPr>
                  <w:t>737</w:t>
                </w:r>
                <w:r>
                  <w:rPr>
                    <w:rFonts w:ascii="Arial Unicode MS" w:hAnsi="Arial Unicode MS" w:cs="Arial Unicode MS" w:eastAsia="Arial Unicode MS"/>
                    <w:spacing w:val="0"/>
                    <w:w w:val="100"/>
                    <w:position w:val="0"/>
                    <w:sz w:val="48"/>
                    <w:szCs w:val="48"/>
                  </w:rPr>
                </w:r>
              </w:p>
              <w:p>
                <w:pPr>
                  <w:spacing w:before="0" w:after="0" w:line="262" w:lineRule="exact"/>
                  <w:ind w:left="1816"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弹性过渡涂料</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5.jpg"/><Relationship Id="rId10"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Intersleek 737 弹性过渡涂料 Intersleek 1 07/07/2009 Intersleek 737 I 146 chi-s</cp:keywords>
  <dc:subject>Technical Datasheet</dc:subject>
  <dc:title>Intersleek 737</dc:title>
  <dcterms:created xsi:type="dcterms:W3CDTF">2015-07-27T15:51:51Z</dcterms:created>
  <dcterms:modified xsi:type="dcterms:W3CDTF">2015-07-27T15:51:51Z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